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D645">
      <w:pPr>
        <w:pStyle w:val="2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小标宋简体" w:hAnsi="方正公文小标宋" w:eastAsia="方正小标宋简体" w:cs="方正公文小标宋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简体" w:hAnsi="方正公文小标宋" w:eastAsia="方正小标宋简体" w:cs="方正公文小标宋"/>
          <w:color w:val="111111"/>
          <w:sz w:val="44"/>
          <w:szCs w:val="44"/>
          <w:shd w:val="clear" w:color="auto" w:fill="FFFFFF"/>
        </w:rPr>
        <w:t>健康步道商业用房招租公告</w:t>
      </w:r>
    </w:p>
    <w:p w14:paraId="1FA5C861">
      <w:pPr>
        <w:pStyle w:val="2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公文小标宋" w:hAnsi="方正公文小标宋" w:eastAsia="方正公文小标宋" w:cs="方正公文小标宋"/>
          <w:color w:val="111111"/>
          <w:sz w:val="44"/>
          <w:szCs w:val="44"/>
          <w:shd w:val="clear" w:color="auto" w:fill="FFFFFF"/>
        </w:rPr>
      </w:pPr>
    </w:p>
    <w:p w14:paraId="3B7B1162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受十堰市森旅康养产业发展有限公司委托，对位于十堰市健康步道商业用房公开招租。现将有关事项公告如下：</w:t>
      </w:r>
    </w:p>
    <w:p w14:paraId="53EF6DD3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标的情况：</w:t>
      </w:r>
    </w:p>
    <w:tbl>
      <w:tblPr>
        <w:tblStyle w:val="3"/>
        <w:tblpPr w:leftFromText="180" w:rightFromText="180" w:vertAnchor="text" w:horzAnchor="page" w:tblpX="1468" w:tblpY="545"/>
        <w:tblOverlap w:val="never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050"/>
        <w:gridCol w:w="1035"/>
        <w:gridCol w:w="1140"/>
        <w:gridCol w:w="1005"/>
        <w:gridCol w:w="834"/>
        <w:gridCol w:w="3291"/>
      </w:tblGrid>
      <w:tr w14:paraId="49CA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3" w:hRule="atLeast"/>
        </w:trPr>
        <w:tc>
          <w:tcPr>
            <w:tcW w:w="39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2D12">
            <w:pPr>
              <w:pStyle w:val="2"/>
              <w:widowControl/>
              <w:jc w:val="center"/>
            </w:pPr>
            <w:r>
              <w:rPr>
                <w:rFonts w:ascii="仿宋" w:hAnsi="仿宋" w:eastAsia="仿宋" w:cs="仿宋"/>
                <w:b/>
                <w:bCs/>
                <w:color w:val="2E2E2E"/>
                <w:sz w:val="22"/>
                <w:szCs w:val="22"/>
              </w:rPr>
              <w:t>编号</w:t>
            </w:r>
          </w:p>
        </w:tc>
        <w:tc>
          <w:tcPr>
            <w:tcW w:w="5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90A0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位置</w:t>
            </w:r>
          </w:p>
        </w:tc>
        <w:tc>
          <w:tcPr>
            <w:tcW w:w="5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B5F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面积</w:t>
            </w:r>
          </w:p>
        </w:tc>
        <w:tc>
          <w:tcPr>
            <w:tcW w:w="62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DE05">
            <w:pPr>
              <w:pStyle w:val="2"/>
              <w:widowControl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首年租金挂牌价</w:t>
            </w:r>
          </w:p>
        </w:tc>
        <w:tc>
          <w:tcPr>
            <w:tcW w:w="55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AD30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竞</w:t>
            </w:r>
            <w:r>
              <w:rPr>
                <w:rFonts w:ascii="仿宋" w:hAnsi="仿宋" w:eastAsia="仿宋" w:cs="仿宋"/>
                <w:b/>
                <w:bCs/>
                <w:color w:val="2E2E2E"/>
                <w:sz w:val="22"/>
                <w:szCs w:val="22"/>
              </w:rPr>
              <w:t>租</w:t>
            </w: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保证金</w:t>
            </w:r>
          </w:p>
        </w:tc>
        <w:tc>
          <w:tcPr>
            <w:tcW w:w="45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41B0">
            <w:pPr>
              <w:ind w:left="221" w:hanging="221" w:hangingChars="100"/>
              <w:rPr>
                <w:rFonts w:hint="eastAsia" w:ascii="仿宋" w:hAnsi="仿宋" w:eastAsia="仿宋" w:cs="仿宋"/>
                <w:b/>
                <w:bCs/>
                <w:color w:val="2E2E2E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kern w:val="0"/>
                <w:sz w:val="22"/>
                <w:szCs w:val="22"/>
                <w:lang w:bidi="ar"/>
              </w:rPr>
              <w:t>租赁</w:t>
            </w:r>
          </w:p>
          <w:p w14:paraId="43310982">
            <w:pPr>
              <w:ind w:left="221" w:hanging="221" w:hangingChars="100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kern w:val="0"/>
                <w:sz w:val="22"/>
                <w:szCs w:val="22"/>
                <w:lang w:bidi="ar"/>
              </w:rPr>
              <w:t>期限</w:t>
            </w:r>
          </w:p>
        </w:tc>
        <w:tc>
          <w:tcPr>
            <w:tcW w:w="181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0FCE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2E2E2E"/>
                <w:sz w:val="22"/>
                <w:szCs w:val="22"/>
              </w:rPr>
              <w:t>拟定业态要求</w:t>
            </w:r>
          </w:p>
        </w:tc>
      </w:tr>
      <w:tr w14:paraId="59BF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9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4862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2E2E2E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E2E2E"/>
                <w:sz w:val="21"/>
                <w:szCs w:val="21"/>
              </w:rPr>
              <w:t>1</w:t>
            </w:r>
          </w:p>
        </w:tc>
        <w:tc>
          <w:tcPr>
            <w:tcW w:w="5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A14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</w:rPr>
              <w:t>健康步道商业综合体外广场场地（编号CD-1-4）</w:t>
            </w:r>
            <w:bookmarkEnd w:id="0"/>
          </w:p>
        </w:tc>
        <w:tc>
          <w:tcPr>
            <w:tcW w:w="57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CF8C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18㎡</w:t>
            </w:r>
          </w:p>
        </w:tc>
        <w:tc>
          <w:tcPr>
            <w:tcW w:w="62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A03B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55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27FB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  <w:tc>
          <w:tcPr>
            <w:tcW w:w="45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2CD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</w:p>
        </w:tc>
        <w:tc>
          <w:tcPr>
            <w:tcW w:w="1813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41C1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主要经营品类：轻食餐饮（非明火烧烤类）、咖啡茶饮、休闲小吃等业态。超出以上经营范围的业态需与招租方协商一致，并在租赁合同明确后方可经营，同时不得从事国家明令禁止的经营项目。</w:t>
            </w:r>
          </w:p>
        </w:tc>
      </w:tr>
    </w:tbl>
    <w:p w14:paraId="39CBB8D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挂牌起止日期：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日至2025年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日。</w:t>
      </w:r>
    </w:p>
    <w:p w14:paraId="3DD41649"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="539"/>
        <w:jc w:val="both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三、承租条件：</w:t>
      </w:r>
    </w:p>
    <w:p w14:paraId="4DE4F05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1、竞租企业、个体工商户须具有良好的商业信誉和健全的财务会计制度，依法缴纳税收和社会保障资金记录良好。承租方为自然人的，应具有完全民事行为能力。</w:t>
      </w:r>
    </w:p>
    <w:p w14:paraId="67046304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2、 承租方无违法违纪生产、经营行为，无不良记录，不存在商品安全、质量等问题，并承担在经营期间的一切安全责任和法律责任。</w:t>
      </w:r>
    </w:p>
    <w:p w14:paraId="4E15D19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、承租方须在竞租成功后，持成交确认书于3个工作日内与出租方签订《房屋租赁合同》(租赁合同范本详见我公司网站公示)。合同签订之日起7个工作日内一次性向出租方支付年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租金及履约保证金（三个月租金，保证金不计利息），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经出租方同意后方可投入使用。</w:t>
      </w:r>
    </w:p>
    <w:p w14:paraId="7DA07AF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、租赁起始时间以出租方书面通知或参考租赁合同条款（具体时间依据招租方的交付时间为准）。标的所涉及的水、电、物业管理费用等其他费用按规定另行征收。</w:t>
      </w:r>
    </w:p>
    <w:p w14:paraId="237F6EB4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、承租方必须按照招租方要求，在指定的范围内根据确定的经营服务项目进行装修、经营，不得转租。</w:t>
      </w:r>
    </w:p>
    <w:p w14:paraId="47AFD9E9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承租方负责对场地建造、维护、安全责任和相关费用，承担一切经济与法律责任。招租单位只负责提供场地，场地尺寸控制在6米(长)*3米(宽)。健康步道商业综合体外广场场地（编号CD-1-4）的商亭购置费用由承租方承担，招租方负责对商亭统一规定样式、颜色、尺寸规格等标识，需经招租方验收符合规定后方可投入使用。</w:t>
      </w:r>
    </w:p>
    <w:p w14:paraId="49B92C1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、承租方必须依法办理各项营业手续。实行门前 “五包”（包卫生、包秩序、包绿化、包整洁、包设施），禁止私搭乱建。</w:t>
      </w:r>
    </w:p>
    <w:p w14:paraId="11D3B616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、承租方依法依规自主经营，自负盈亏。由承租方依照营业执照范围自定商铺经营类型，报招租单位备案并服从管理。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、意向承租方缴纳竞租保证金后不参加竞租的，竞租成功后不按公告要求支付交易费用、签订租赁合同、支付租金的，将被取消承租资格，交易保证金不予返还，该标的择期重新挂牌竞租。</w:t>
      </w:r>
    </w:p>
    <w:p w14:paraId="02BC6136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报名方式：</w:t>
      </w:r>
    </w:p>
    <w:p w14:paraId="3BCF537F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意向承租方请于2025年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日17：00时前将竞租保证金缴入我公司指定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户（以银行到账为准），并持有效证件到我公司办理报名登记手续，取得竞租资格，逾期不予办理。本次招租采取网络竞价方式确定承租方，价高者得。</w:t>
      </w:r>
    </w:p>
    <w:p w14:paraId="16905209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保证金缴款账户：</w:t>
      </w:r>
    </w:p>
    <w:p w14:paraId="45AB22E7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户名：武汉光谷联合产权交易所十堰产权交易有限公司</w:t>
      </w:r>
    </w:p>
    <w:p w14:paraId="33932DED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开户行：中国银行十堰大学城支行</w:t>
      </w:r>
    </w:p>
    <w:p w14:paraId="31C9D552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账号：5677 5839 7138 </w:t>
      </w:r>
    </w:p>
    <w:p w14:paraId="14901DB1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地址：十堰市天津路27号建科大厦12楼</w:t>
      </w:r>
    </w:p>
    <w:p w14:paraId="5ACEF45F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39"/>
        <w:jc w:val="both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联系电话： 0719-8875975 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15071605779</w:t>
      </w:r>
    </w:p>
    <w:p w14:paraId="22C1DF32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 </w:t>
      </w:r>
    </w:p>
    <w:p w14:paraId="231C232E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武汉光谷联合产权交易所十堰产权交易有限公司</w:t>
      </w:r>
    </w:p>
    <w:p w14:paraId="4381B155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en-US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5年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</w:t>
      </w:r>
    </w:p>
    <w:p w14:paraId="27891E0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01885"/>
    <w:multiLevelType w:val="singleLevel"/>
    <w:tmpl w:val="B8E018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547A"/>
    <w:rsid w:val="4C6E025F"/>
    <w:rsid w:val="4E615134"/>
    <w:rsid w:val="551A46B4"/>
    <w:rsid w:val="620F3D67"/>
    <w:rsid w:val="79B3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1134</Characters>
  <Lines>0</Lines>
  <Paragraphs>0</Paragraphs>
  <TotalTime>9</TotalTime>
  <ScaleCrop>false</ScaleCrop>
  <LinksUpToDate>false</LinksUpToDate>
  <CharactersWithSpaces>1153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2025-02-08T08:28:00Z</dcterms:created>
  <dc:creator>Administrator</dc:creator>
  <cp:lastModifiedBy>Nice</cp:lastModifiedBy>
  <dcterms:modified xsi:type="dcterms:W3CDTF">2025-08-01T01:39:01Z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eyJoZGlkIjoiZDJmYWYwMDdjODk3NzM5YjUwNzBiYWYzNmUzM2Y0NTAiLCJ1c2VySWQiOiI0MTI1MDYxNzQifQ==</vt:lpwstr>
  </property>
  <property fmtid="{D5CDD505-2E9C-101B-9397-08002B2CF9AE}" pid="4" name="ICV">
    <vt:lpwstr>5F16F2B8308946849A2C5723896815E1_13</vt:lpwstr>
  </property>
</Properties>
</file>